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F5" w:rsidRPr="006A3E55" w:rsidRDefault="003721CA" w:rsidP="000955F5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3721CA">
        <w:rPr>
          <w:b/>
          <w:color w:val="1F497D" w:themeColor="text2"/>
          <w:sz w:val="28"/>
          <w:szCs w:val="28"/>
        </w:rPr>
        <w:t xml:space="preserve">PES Horisont Europa </w:t>
      </w:r>
      <w:r w:rsidR="00C31FBC">
        <w:rPr>
          <w:b/>
          <w:color w:val="1F497D" w:themeColor="text2"/>
          <w:sz w:val="28"/>
          <w:szCs w:val="28"/>
        </w:rPr>
        <w:t>202</w:t>
      </w:r>
      <w:r>
        <w:rPr>
          <w:b/>
          <w:color w:val="1F497D" w:themeColor="text2"/>
          <w:sz w:val="28"/>
          <w:szCs w:val="28"/>
        </w:rPr>
        <w:t>3 - 2024</w:t>
      </w:r>
    </w:p>
    <w:p w:rsidR="00361956" w:rsidRPr="006A3E55" w:rsidRDefault="00361956" w:rsidP="000955F5">
      <w:pPr>
        <w:spacing w:after="0" w:line="240" w:lineRule="auto"/>
        <w:rPr>
          <w:sz w:val="24"/>
          <w:szCs w:val="24"/>
        </w:rPr>
      </w:pPr>
      <w:r w:rsidRPr="006A3E55">
        <w:rPr>
          <w:sz w:val="28"/>
          <w:szCs w:val="28"/>
        </w:rPr>
        <w:t xml:space="preserve"> </w:t>
      </w:r>
    </w:p>
    <w:p w:rsidR="002E7E87" w:rsidRPr="00AB5BF9" w:rsidRDefault="002E7E87" w:rsidP="002E7E87">
      <w:pPr>
        <w:spacing w:after="0" w:line="240" w:lineRule="auto"/>
      </w:pPr>
      <w:r w:rsidRPr="00AB5BF9">
        <w:t>I 20</w:t>
      </w:r>
      <w:r w:rsidR="002C024B" w:rsidRPr="00AB5BF9">
        <w:t>2</w:t>
      </w:r>
      <w:r w:rsidR="003721CA" w:rsidRPr="00AB5BF9">
        <w:t>3 og 2024</w:t>
      </w:r>
      <w:r w:rsidRPr="00AB5BF9">
        <w:t xml:space="preserve"> har </w:t>
      </w:r>
      <w:r w:rsidR="00C31FBC" w:rsidRPr="00AB5BF9">
        <w:t xml:space="preserve">Oslo universitetssykehus, på vegne av </w:t>
      </w:r>
      <w:r w:rsidRPr="00AB5BF9">
        <w:t>Helse Sør-Øst RHF</w:t>
      </w:r>
      <w:r w:rsidR="00C31FBC" w:rsidRPr="00AB5BF9">
        <w:t>,</w:t>
      </w:r>
      <w:r w:rsidRPr="00AB5BF9">
        <w:t xml:space="preserve"> blitt tildelt </w:t>
      </w:r>
      <w:r w:rsidR="003721CA" w:rsidRPr="00AB5BF9">
        <w:t>PES Horisont Europa rammebevilgning</w:t>
      </w:r>
      <w:r w:rsidRPr="00AB5BF9">
        <w:t xml:space="preserve"> fra Forskningsrådet</w:t>
      </w:r>
      <w:r w:rsidR="003721CA" w:rsidRPr="00AB5BF9">
        <w:t xml:space="preserve"> (PES). Rammebevilgningen </w:t>
      </w:r>
      <w:r w:rsidR="00C31FBC" w:rsidRPr="00AB5BF9">
        <w:t>gjelder for alle helseforetak i regionen</w:t>
      </w:r>
      <w:r w:rsidR="003721CA" w:rsidRPr="00AB5BF9">
        <w:t xml:space="preserve">, og skal bidra til at </w:t>
      </w:r>
      <w:proofErr w:type="spellStart"/>
      <w:r w:rsidR="003721CA" w:rsidRPr="00AB5BF9">
        <w:t>HF’ene</w:t>
      </w:r>
      <w:proofErr w:type="spellEnd"/>
      <w:r w:rsidR="003721CA" w:rsidRPr="00AB5BF9">
        <w:t xml:space="preserve"> kan dra nytte av mulighetene i programmet Horisont Europa.</w:t>
      </w:r>
      <w:r w:rsidR="00C31FBC" w:rsidRPr="00AB5BF9">
        <w:t xml:space="preserve"> </w:t>
      </w:r>
    </w:p>
    <w:p w:rsidR="002E7E87" w:rsidRPr="00AB5BF9" w:rsidRDefault="002E7E87" w:rsidP="002E7E87">
      <w:pPr>
        <w:spacing w:after="0" w:line="240" w:lineRule="auto"/>
      </w:pPr>
    </w:p>
    <w:p w:rsidR="002E7E87" w:rsidRPr="00AB5BF9" w:rsidRDefault="002E7E87" w:rsidP="002E7E87">
      <w:pPr>
        <w:spacing w:after="0" w:line="240" w:lineRule="auto"/>
      </w:pPr>
      <w:r w:rsidRPr="00AB5BF9">
        <w:t xml:space="preserve">Søknader om midler må sendes til </w:t>
      </w:r>
      <w:r w:rsidR="003721CA" w:rsidRPr="00AB5BF9">
        <w:t>Team</w:t>
      </w:r>
      <w:r w:rsidRPr="00AB5BF9">
        <w:t xml:space="preserve"> </w:t>
      </w:r>
      <w:r w:rsidR="003721CA" w:rsidRPr="00AB5BF9">
        <w:t>for ek</w:t>
      </w:r>
      <w:r w:rsidRPr="00AB5BF9">
        <w:t xml:space="preserve">stern </w:t>
      </w:r>
      <w:r w:rsidR="003721CA" w:rsidRPr="00AB5BF9">
        <w:t>f</w:t>
      </w:r>
      <w:r w:rsidRPr="00AB5BF9">
        <w:t>inansiering</w:t>
      </w:r>
      <w:r w:rsidR="00D31619" w:rsidRPr="00AB5BF9">
        <w:t>, Administrativ Forskerstøtte</w:t>
      </w:r>
      <w:r w:rsidRPr="00AB5BF9">
        <w:t xml:space="preserve"> ved OUS ved å returnere utfylt søknadsskjema til </w:t>
      </w:r>
      <w:hyperlink r:id="rId8" w:history="1">
        <w:r w:rsidRPr="00AB5BF9">
          <w:rPr>
            <w:rStyle w:val="Hyperkobling"/>
          </w:rPr>
          <w:t>grants@ous-hf.no</w:t>
        </w:r>
      </w:hyperlink>
      <w:r w:rsidRPr="00AB5BF9">
        <w:t>.</w:t>
      </w:r>
    </w:p>
    <w:p w:rsidR="00FF5CAB" w:rsidRDefault="00FF5CAB" w:rsidP="002E7E87">
      <w:pPr>
        <w:spacing w:after="0" w:line="240" w:lineRule="auto"/>
      </w:pPr>
    </w:p>
    <w:p w:rsidR="00AB5BF9" w:rsidRPr="00AB5BF9" w:rsidRDefault="00AB5BF9" w:rsidP="002E7E87">
      <w:pPr>
        <w:spacing w:after="0" w:line="240" w:lineRule="auto"/>
      </w:pPr>
    </w:p>
    <w:p w:rsidR="001F5370" w:rsidRPr="00311BDE" w:rsidRDefault="001F5370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b/>
          <w:color w:val="1F497D" w:themeColor="text2"/>
          <w:sz w:val="24"/>
          <w:szCs w:val="24"/>
        </w:rPr>
        <w:t xml:space="preserve">HVA KAN MAN SØKE OM STØTTE TIL? </w:t>
      </w:r>
    </w:p>
    <w:p w:rsidR="00AB5BF9" w:rsidRPr="00AB5BF9" w:rsidRDefault="00AB5BF9" w:rsidP="00AB5BF9">
      <w:pPr>
        <w:pStyle w:val="Listeavsnit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F16D9">
        <w:rPr>
          <w:rFonts w:ascii="Calibri" w:hAnsi="Calibri" w:cs="Calibri"/>
        </w:rPr>
        <w:t xml:space="preserve">frikjøp av tid til søknadsskriving, posisjonering, reiser, o.l. knyttet til etablering av nettverk, konsortier og </w:t>
      </w:r>
      <w:r w:rsidRPr="00AB5BF9">
        <w:rPr>
          <w:rFonts w:ascii="Calibri" w:hAnsi="Calibri" w:cs="Calibri"/>
        </w:rPr>
        <w:t>prosjekter</w:t>
      </w:r>
    </w:p>
    <w:p w:rsidR="00AB5BF9" w:rsidRPr="00AB5BF9" w:rsidRDefault="00AB5BF9" w:rsidP="00AB5BF9">
      <w:pPr>
        <w:pStyle w:val="Listeavsnit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B5BF9">
        <w:rPr>
          <w:rFonts w:ascii="Calibri" w:hAnsi="Calibri" w:cs="Calibri"/>
        </w:rPr>
        <w:t>tiltak for å styrke institusjonens EU-kompetanse</w:t>
      </w:r>
    </w:p>
    <w:p w:rsidR="001F5370" w:rsidRPr="00AB5BF9" w:rsidRDefault="00AB5BF9" w:rsidP="001F5370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B5BF9">
        <w:rPr>
          <w:rFonts w:ascii="Calibri" w:hAnsi="Calibri" w:cs="Calibri"/>
        </w:rPr>
        <w:t>innkjøp av ekstern assistanse og rådgivning knyttet til prosjektetablering og søknadsutvikling</w:t>
      </w:r>
      <w:r w:rsidR="001F5370" w:rsidRPr="00AB5BF9">
        <w:rPr>
          <w:sz w:val="24"/>
          <w:szCs w:val="24"/>
        </w:rPr>
        <w:t xml:space="preserve">   </w:t>
      </w:r>
    </w:p>
    <w:p w:rsidR="00FF5CAB" w:rsidRDefault="00FF5CAB" w:rsidP="001F5370">
      <w:pPr>
        <w:spacing w:after="0" w:line="240" w:lineRule="auto"/>
        <w:rPr>
          <w:sz w:val="24"/>
          <w:szCs w:val="24"/>
        </w:rPr>
      </w:pPr>
    </w:p>
    <w:p w:rsidR="00AB5BF9" w:rsidRPr="00F700CC" w:rsidRDefault="00AB5BF9" w:rsidP="001F5370">
      <w:pPr>
        <w:spacing w:after="0" w:line="240" w:lineRule="auto"/>
        <w:rPr>
          <w:sz w:val="24"/>
          <w:szCs w:val="24"/>
        </w:rPr>
      </w:pPr>
    </w:p>
    <w:p w:rsidR="001F5370" w:rsidRPr="007E3338" w:rsidRDefault="00F700CC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7E3338">
        <w:rPr>
          <w:b/>
          <w:color w:val="1F497D" w:themeColor="text2"/>
          <w:sz w:val="24"/>
          <w:szCs w:val="24"/>
        </w:rPr>
        <w:t>S</w:t>
      </w:r>
      <w:r w:rsidR="00FF5CAB" w:rsidRPr="007E3338">
        <w:rPr>
          <w:b/>
          <w:color w:val="1F497D" w:themeColor="text2"/>
          <w:sz w:val="24"/>
          <w:szCs w:val="24"/>
        </w:rPr>
        <w:t>ØKNADSBELØP</w:t>
      </w:r>
      <w:r w:rsidRPr="007E3338">
        <w:rPr>
          <w:b/>
          <w:color w:val="1F497D" w:themeColor="text2"/>
          <w:sz w:val="24"/>
          <w:szCs w:val="24"/>
        </w:rPr>
        <w:t xml:space="preserve"> 20</w:t>
      </w:r>
      <w:r w:rsidR="00D31619">
        <w:rPr>
          <w:b/>
          <w:color w:val="1F497D" w:themeColor="text2"/>
          <w:sz w:val="24"/>
          <w:szCs w:val="24"/>
        </w:rPr>
        <w:t>2</w:t>
      </w:r>
      <w:r w:rsidR="003721CA">
        <w:rPr>
          <w:b/>
          <w:color w:val="1F497D" w:themeColor="text2"/>
          <w:sz w:val="24"/>
          <w:szCs w:val="24"/>
        </w:rPr>
        <w:t>3 - 2024</w:t>
      </w:r>
      <w:r w:rsidR="001F5370" w:rsidRPr="007E3338">
        <w:rPr>
          <w:b/>
          <w:color w:val="1F497D" w:themeColor="text2"/>
          <w:sz w:val="24"/>
          <w:szCs w:val="24"/>
        </w:rPr>
        <w:t>:</w:t>
      </w:r>
    </w:p>
    <w:p w:rsidR="00AB5BF9" w:rsidRPr="008F16D9" w:rsidRDefault="008917B3" w:rsidP="00AB5B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8917B3">
        <w:rPr>
          <w:rFonts w:ascii="Calibri" w:hAnsi="Calibri" w:cs="Calibri"/>
        </w:rPr>
        <w:t>ver enkelt søknad</w:t>
      </w:r>
      <w:r>
        <w:rPr>
          <w:rFonts w:ascii="Calibri" w:hAnsi="Calibri" w:cs="Calibri"/>
        </w:rPr>
        <w:t xml:space="preserve"> må søke om et estimert budsjett, samtidig vil grensen for t</w:t>
      </w:r>
      <w:r w:rsidR="00AB5BF9" w:rsidRPr="008F16D9">
        <w:rPr>
          <w:rFonts w:ascii="Calibri" w:hAnsi="Calibri" w:cs="Calibri"/>
        </w:rPr>
        <w:t xml:space="preserve">ildeling av støttebeløp fra PES vil være basert på prosjekttype, søkers rolle og budsjettet i det planlagte EU-prosjektet. Kun faktiske regnskapsførte kostnader vil bli dekket, og man får kun dekket påløpte kostnader frem til søknadsfristen. </w:t>
      </w:r>
    </w:p>
    <w:p w:rsidR="00AB5BF9" w:rsidRPr="008F16D9" w:rsidRDefault="00AB5BF9" w:rsidP="00AB5BF9">
      <w:pPr>
        <w:spacing w:after="0" w:line="240" w:lineRule="auto"/>
        <w:rPr>
          <w:rFonts w:ascii="Calibri" w:hAnsi="Calibri" w:cs="Calibri"/>
        </w:rPr>
      </w:pPr>
    </w:p>
    <w:p w:rsidR="00AB5BF9" w:rsidRPr="008F16D9" w:rsidRDefault="00AB5BF9" w:rsidP="00AB5BF9">
      <w:pPr>
        <w:spacing w:after="0" w:line="240" w:lineRule="auto"/>
        <w:rPr>
          <w:rFonts w:ascii="Calibri" w:hAnsi="Calibri" w:cs="Calibri"/>
        </w:rPr>
      </w:pPr>
      <w:r w:rsidRPr="008F16D9">
        <w:rPr>
          <w:rFonts w:ascii="Calibri" w:hAnsi="Calibri" w:cs="Calibri"/>
        </w:rPr>
        <w:t>OUS har fått tildelt en ramme fra Forskningsrådet og støttesatsene kan måtte justeres i henhold til hvor mye midler som er tilgjengelig.</w:t>
      </w:r>
    </w:p>
    <w:p w:rsidR="00AB5BF9" w:rsidRDefault="00AB5BF9" w:rsidP="00AB5BF9">
      <w:pPr>
        <w:spacing w:after="0" w:line="240" w:lineRule="auto"/>
        <w:rPr>
          <w:b/>
          <w:sz w:val="24"/>
          <w:szCs w:val="24"/>
        </w:rPr>
      </w:pPr>
    </w:p>
    <w:p w:rsidR="008917B3" w:rsidRPr="008917B3" w:rsidRDefault="008917B3" w:rsidP="00AB5BF9">
      <w:pPr>
        <w:spacing w:after="0" w:line="240" w:lineRule="auto"/>
        <w:rPr>
          <w:sz w:val="24"/>
          <w:szCs w:val="24"/>
        </w:rPr>
      </w:pPr>
      <w:r w:rsidRPr="008917B3">
        <w:rPr>
          <w:sz w:val="24"/>
          <w:szCs w:val="24"/>
        </w:rPr>
        <w:t>Makssatser for den enkelte søknadskategori og rolle er:</w:t>
      </w:r>
    </w:p>
    <w:p w:rsidR="008917B3" w:rsidRDefault="008917B3" w:rsidP="00AB5BF9">
      <w:pPr>
        <w:spacing w:after="0" w:line="240" w:lineRule="auto"/>
        <w:rPr>
          <w:b/>
          <w:sz w:val="24"/>
          <w:szCs w:val="24"/>
        </w:rPr>
      </w:pPr>
    </w:p>
    <w:p w:rsidR="00AB5BF9" w:rsidRPr="0000338D" w:rsidRDefault="00AB5BF9" w:rsidP="00AB5BF9">
      <w:pPr>
        <w:spacing w:after="0" w:line="240" w:lineRule="auto"/>
        <w:rPr>
          <w:b/>
          <w:sz w:val="24"/>
          <w:szCs w:val="24"/>
        </w:rPr>
      </w:pPr>
      <w:r w:rsidRPr="0000338D">
        <w:rPr>
          <w:b/>
          <w:sz w:val="24"/>
          <w:szCs w:val="24"/>
        </w:rPr>
        <w:t xml:space="preserve">Samarbeidsprosjekter </w:t>
      </w:r>
    </w:p>
    <w:p w:rsidR="00AB5BF9" w:rsidRDefault="00AB5BF9" w:rsidP="00AB5BF9">
      <w:pPr>
        <w:spacing w:after="0" w:line="240" w:lineRule="auto"/>
        <w:rPr>
          <w:sz w:val="24"/>
          <w:szCs w:val="24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2370"/>
        <w:gridCol w:w="4284"/>
      </w:tblGrid>
      <w:tr w:rsidR="00AB5BF9" w:rsidRPr="0000338D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Prosjekttype</w:t>
            </w: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Rolle i prosjektet</w:t>
            </w: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Maksimalt støttebeløp når Horisont Europa-søknaden er lik terskelverdi eller over</w:t>
            </w:r>
          </w:p>
        </w:tc>
      </w:tr>
      <w:tr w:rsidR="00AB5BF9" w:rsidRPr="0000338D" w:rsidTr="00E5067A">
        <w:trPr>
          <w:trHeight w:val="3699"/>
        </w:trPr>
        <w:tc>
          <w:tcPr>
            <w:tcW w:w="2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  <w:lang w:val="en-GB"/>
              </w:rPr>
            </w:pPr>
            <w:r w:rsidRPr="0000338D">
              <w:rPr>
                <w:rFonts w:eastAsia="Times New Roman" w:cstheme="minorHAnsi"/>
                <w:color w:val="1F1F1F"/>
                <w:lang w:val="en-GB"/>
              </w:rPr>
              <w:t>Research &amp; Innovation Action 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(RIA)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Innovation Action 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(IA)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  <w:p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400 000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over 10 millioner euro</w:t>
            </w:r>
          </w:p>
          <w:p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300 000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mellom 5-10 millioner euro</w:t>
            </w:r>
          </w:p>
          <w:p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200 000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inntil 5 millioner euro    </w:t>
            </w:r>
          </w:p>
        </w:tc>
      </w:tr>
      <w:tr w:rsidR="00AB5BF9" w:rsidRPr="0000338D" w:rsidTr="00E5067A">
        <w:tc>
          <w:tcPr>
            <w:tcW w:w="2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Arbeidspakkeleder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70 000 kroner</w:t>
            </w:r>
          </w:p>
        </w:tc>
      </w:tr>
      <w:tr w:rsidR="00AB5BF9" w:rsidRPr="0000338D" w:rsidTr="00E5067A">
        <w:tc>
          <w:tcPr>
            <w:tcW w:w="2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Deltaker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50 000 kroner</w:t>
            </w:r>
          </w:p>
        </w:tc>
      </w:tr>
      <w:tr w:rsidR="00AB5BF9" w:rsidRPr="0000338D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  <w:lang w:val="en-GB"/>
              </w:rPr>
            </w:pPr>
            <w:r w:rsidRPr="0000338D">
              <w:rPr>
                <w:rFonts w:eastAsia="Times New Roman" w:cstheme="minorHAnsi"/>
                <w:color w:val="1F1F1F"/>
                <w:lang w:val="en-GB"/>
              </w:rPr>
              <w:t>Coordination &amp; Support Action 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(CSA)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Public Procurement of Innovative Solutions 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(PPI)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Pre-Commercial procurement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 (PCP)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  <w:p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Arbeidspakkeleder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Deltaker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200 000 kroner </w:t>
            </w:r>
          </w:p>
          <w:p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70 000 kroner </w:t>
            </w:r>
          </w:p>
          <w:p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50 000 kroner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 </w:t>
            </w:r>
          </w:p>
        </w:tc>
      </w:tr>
      <w:tr w:rsidR="00AB5BF9" w:rsidRPr="0000338D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COST (opprette nytt nettverk)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100 000 kroner </w:t>
            </w:r>
          </w:p>
        </w:tc>
      </w:tr>
    </w:tbl>
    <w:p w:rsidR="00AB5BF9" w:rsidRDefault="00AB5BF9" w:rsidP="00AB5BF9">
      <w:pPr>
        <w:spacing w:after="0"/>
        <w:rPr>
          <w:rFonts w:cstheme="minorHAnsi"/>
          <w:sz w:val="24"/>
          <w:szCs w:val="24"/>
        </w:rPr>
      </w:pPr>
    </w:p>
    <w:p w:rsidR="00AB5BF9" w:rsidRDefault="00AB5BF9" w:rsidP="00AB5BF9">
      <w:pPr>
        <w:rPr>
          <w:rFonts w:cstheme="minorHAnsi"/>
          <w:b/>
          <w:sz w:val="24"/>
          <w:szCs w:val="24"/>
          <w:lang w:val="en-GB"/>
        </w:rPr>
      </w:pPr>
      <w:r w:rsidRPr="0000338D">
        <w:rPr>
          <w:rFonts w:cstheme="minorHAnsi"/>
          <w:b/>
          <w:sz w:val="24"/>
          <w:szCs w:val="24"/>
          <w:lang w:val="en-GB"/>
        </w:rPr>
        <w:t xml:space="preserve">ERC </w:t>
      </w:r>
      <w:proofErr w:type="spellStart"/>
      <w:proofErr w:type="gramStart"/>
      <w:r w:rsidRPr="0000338D">
        <w:rPr>
          <w:rFonts w:cstheme="minorHAnsi"/>
          <w:b/>
          <w:sz w:val="24"/>
          <w:szCs w:val="24"/>
          <w:lang w:val="en-GB"/>
        </w:rPr>
        <w:t>og</w:t>
      </w:r>
      <w:proofErr w:type="spellEnd"/>
      <w:proofErr w:type="gramEnd"/>
      <w:r w:rsidRPr="0000338D">
        <w:rPr>
          <w:rFonts w:cstheme="minorHAnsi"/>
          <w:b/>
          <w:sz w:val="24"/>
          <w:szCs w:val="24"/>
          <w:lang w:val="en-GB"/>
        </w:rPr>
        <w:t xml:space="preserve"> Marie </w:t>
      </w:r>
      <w:proofErr w:type="spellStart"/>
      <w:r w:rsidRPr="0000338D">
        <w:rPr>
          <w:rFonts w:cstheme="minorHAnsi"/>
          <w:b/>
          <w:sz w:val="24"/>
          <w:szCs w:val="24"/>
          <w:lang w:val="en-GB"/>
        </w:rPr>
        <w:t>Sklodowska</w:t>
      </w:r>
      <w:proofErr w:type="spellEnd"/>
      <w:r w:rsidRPr="0000338D">
        <w:rPr>
          <w:rFonts w:cstheme="minorHAnsi"/>
          <w:b/>
          <w:sz w:val="24"/>
          <w:szCs w:val="24"/>
          <w:lang w:val="en-GB"/>
        </w:rPr>
        <w:t xml:space="preserve"> Curie Actions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460"/>
        <w:gridCol w:w="4110"/>
      </w:tblGrid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Prosjekttype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Rolle i prosjektet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Maksimalt støttebeløp når Horisont Europa-søknaden er "</w:t>
            </w:r>
            <w:proofErr w:type="spellStart"/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eligible</w:t>
            </w:r>
            <w:proofErr w:type="spellEnd"/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"*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</w:tr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 xml:space="preserve">MSCA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Doctoral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Networks (DN) </w:t>
            </w:r>
            <w:r w:rsidRPr="0000338D">
              <w:rPr>
                <w:rFonts w:ascii="Calibri" w:eastAsia="Times New Roman" w:hAnsi="Calibri" w:cs="Calibri"/>
                <w:color w:val="1F1F1F"/>
              </w:rPr>
              <w:br/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proofErr w:type="spellStart"/>
            <w:r>
              <w:rPr>
                <w:rFonts w:ascii="Calibri" w:eastAsia="Times New Roman" w:hAnsi="Calibri" w:cs="Calibri"/>
                <w:color w:val="1F1F1F"/>
              </w:rPr>
              <w:t>Beneficiary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200 000 kroner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100 000 kroner </w:t>
            </w:r>
          </w:p>
        </w:tc>
      </w:tr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MSCA Staff Exchanges (SE)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  <w:p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proofErr w:type="spellStart"/>
            <w:r>
              <w:rPr>
                <w:rFonts w:ascii="Calibri" w:eastAsia="Times New Roman" w:hAnsi="Calibri" w:cs="Calibri"/>
                <w:color w:val="1F1F1F"/>
              </w:rPr>
              <w:t>Beneficiary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 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75 000 kroner </w:t>
            </w:r>
          </w:p>
          <w:p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35 000 kroner </w:t>
            </w:r>
          </w:p>
        </w:tc>
      </w:tr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lang w:val="en-GB"/>
              </w:rPr>
            </w:pPr>
            <w:r w:rsidRPr="0000338D">
              <w:rPr>
                <w:rFonts w:ascii="Calibri" w:eastAsia="Times New Roman" w:hAnsi="Calibri" w:cs="Calibri"/>
                <w:color w:val="1F1F1F"/>
                <w:lang w:val="en-GB"/>
              </w:rPr>
              <w:t>MSCA Co-funding of regional, national and international programmes (COFUND)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200 000 kroner </w:t>
            </w:r>
          </w:p>
        </w:tc>
      </w:tr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 xml:space="preserve">MSCA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Postdoctoral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Fellowships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(PF)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En søker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20 000 kroner </w:t>
            </w:r>
          </w:p>
        </w:tc>
      </w:tr>
      <w:tr w:rsidR="00AB5BF9" w:rsidRPr="0000338D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8917B3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lang w:val="en-GB"/>
              </w:rPr>
            </w:pPr>
            <w:r>
              <w:rPr>
                <w:rFonts w:ascii="Calibri" w:eastAsia="Times New Roman" w:hAnsi="Calibri" w:cs="Calibri"/>
                <w:color w:val="1F1F1F"/>
                <w:lang w:val="en-GB"/>
              </w:rPr>
              <w:t>ERC Synergy Grant (</w:t>
            </w:r>
            <w:proofErr w:type="spellStart"/>
            <w:r>
              <w:rPr>
                <w:rFonts w:ascii="Calibri" w:eastAsia="Times New Roman" w:hAnsi="Calibri" w:cs="Calibri"/>
                <w:color w:val="1F1F1F"/>
                <w:lang w:val="en-GB"/>
              </w:rPr>
              <w:t>SyG</w:t>
            </w:r>
            <w:proofErr w:type="spellEnd"/>
            <w:r>
              <w:rPr>
                <w:rFonts w:ascii="Calibri" w:eastAsia="Times New Roman" w:hAnsi="Calibri" w:cs="Calibri"/>
                <w:color w:val="1F1F1F"/>
                <w:lang w:val="en-GB"/>
              </w:rPr>
              <w:t>)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Starting Grant 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Consolidator Grant 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Advanced Grant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Søker må være koordinerende organisasjon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75 000 kroner </w:t>
            </w:r>
          </w:p>
        </w:tc>
      </w:tr>
      <w:tr w:rsidR="00AB5BF9" w:rsidRPr="0000338D" w:rsidTr="00E5067A">
        <w:tc>
          <w:tcPr>
            <w:tcW w:w="9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*)</w:t>
            </w:r>
            <w:r>
              <w:rPr>
                <w:rFonts w:ascii="Calibri" w:eastAsia="Times New Roman" w:hAnsi="Calibri" w:cs="Calibri"/>
                <w:color w:val="1F1F1F"/>
              </w:rPr>
              <w:t xml:space="preserve"> </w:t>
            </w:r>
            <w:proofErr w:type="gramStart"/>
            <w:r w:rsidRPr="0000338D">
              <w:rPr>
                <w:rFonts w:ascii="Calibri" w:eastAsia="Times New Roman" w:hAnsi="Calibri" w:cs="Calibri"/>
                <w:color w:val="1F1F1F"/>
              </w:rPr>
              <w:t>ERC :</w:t>
            </w:r>
            <w:proofErr w:type="gram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minstekrav til utbetaling av PES-støtte er karakter A eller B i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Step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1.  </w:t>
            </w:r>
          </w:p>
          <w:p w:rsidR="00AB5BF9" w:rsidRPr="0000338D" w:rsidRDefault="00AB5BF9" w:rsidP="008917B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MSCA: minstekrav til utbetaling av PES-støtte er 70 poeng. </w:t>
            </w:r>
          </w:p>
        </w:tc>
      </w:tr>
    </w:tbl>
    <w:p w:rsidR="00FF5CAB" w:rsidRDefault="00FF5CAB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AB5BF9" w:rsidRDefault="00AB5BF9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8917B3" w:rsidRDefault="008917B3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8917B3" w:rsidRDefault="008917B3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1F5370" w:rsidRDefault="001F5370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b/>
          <w:color w:val="1F497D" w:themeColor="text2"/>
          <w:sz w:val="24"/>
          <w:szCs w:val="24"/>
        </w:rPr>
        <w:t xml:space="preserve">HVORDAN FÅ REFUNDERT KOSTNADENE VED INNVILGET SØKNAD? </w:t>
      </w:r>
    </w:p>
    <w:p w:rsidR="002E7E87" w:rsidRPr="002E7E87" w:rsidRDefault="002E7E87" w:rsidP="001F5370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 xml:space="preserve">OUS: </w:t>
      </w:r>
    </w:p>
    <w:p w:rsidR="001F5370" w:rsidRDefault="001F5370" w:rsidP="001F53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 innvilgelse av søknaden blir det oppgitt </w:t>
      </w:r>
      <w:r w:rsidRPr="00E10869">
        <w:rPr>
          <w:sz w:val="24"/>
          <w:szCs w:val="24"/>
        </w:rPr>
        <w:t xml:space="preserve">konteringsinformasjon </w:t>
      </w:r>
      <w:r>
        <w:rPr>
          <w:sz w:val="24"/>
          <w:szCs w:val="24"/>
        </w:rPr>
        <w:t xml:space="preserve">som skal benyttes </w:t>
      </w:r>
      <w:r w:rsidRPr="00E10869">
        <w:rPr>
          <w:sz w:val="24"/>
          <w:szCs w:val="24"/>
        </w:rPr>
        <w:t>ved føring av kostnader på tildelingen (kostnadssted, kilde og prosjektnummer)</w:t>
      </w:r>
      <w:r>
        <w:rPr>
          <w:sz w:val="24"/>
          <w:szCs w:val="24"/>
        </w:rPr>
        <w:t>. Det er viktig at denne brukes slik at vi får rapportert til Forskningsrådet på bruken av midlene.</w:t>
      </w:r>
    </w:p>
    <w:p w:rsidR="001F5370" w:rsidRPr="000955F5" w:rsidRDefault="001F5370" w:rsidP="001F5370">
      <w:pPr>
        <w:spacing w:after="0" w:line="240" w:lineRule="auto"/>
        <w:rPr>
          <w:sz w:val="24"/>
          <w:szCs w:val="24"/>
        </w:rPr>
      </w:pPr>
    </w:p>
    <w:p w:rsidR="002E7E87" w:rsidRPr="002E7E87" w:rsidRDefault="002E7E87" w:rsidP="001F5370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>Andre helseforetak i HSØ:</w:t>
      </w:r>
    </w:p>
    <w:p w:rsidR="002E7E87" w:rsidRDefault="002E7E87" w:rsidP="001F53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Ved innvilgelse av søknaden blir det lagt ved en mal for rapportering av påløpte kostnader som må benyttes. Disse vil så bli overført til konto som oppgis i søknadsskjemaet</w:t>
      </w:r>
    </w:p>
    <w:p w:rsidR="002E7E87" w:rsidRDefault="002E7E87" w:rsidP="001F5370">
      <w:pPr>
        <w:spacing w:after="0" w:line="240" w:lineRule="auto"/>
        <w:rPr>
          <w:sz w:val="24"/>
          <w:szCs w:val="24"/>
        </w:rPr>
      </w:pPr>
    </w:p>
    <w:p w:rsidR="002E7E87" w:rsidRPr="002E7E87" w:rsidRDefault="002E7E87" w:rsidP="002E7E87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>Obligatoriske vedlegg som må ettersendes:</w:t>
      </w:r>
    </w:p>
    <w:p w:rsidR="002E7E87" w:rsidRDefault="002E7E87" w:rsidP="002E7E8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Kopi av søknaden</w:t>
      </w:r>
    </w:p>
    <w:p w:rsidR="002E7E87" w:rsidRPr="00E10869" w:rsidRDefault="002E7E87" w:rsidP="002E7E8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Kvittering på innsendt søknad </w:t>
      </w:r>
    </w:p>
    <w:p w:rsidR="002E7E87" w:rsidRDefault="002E7E87" w:rsidP="001F5370">
      <w:pPr>
        <w:spacing w:after="0" w:line="240" w:lineRule="auto"/>
        <w:rPr>
          <w:sz w:val="24"/>
          <w:szCs w:val="24"/>
        </w:rPr>
      </w:pPr>
    </w:p>
    <w:p w:rsidR="002E7E87" w:rsidRPr="002E7E87" w:rsidRDefault="002E7E87" w:rsidP="001F5370">
      <w:pPr>
        <w:spacing w:after="0" w:line="240" w:lineRule="auto"/>
        <w:rPr>
          <w:sz w:val="24"/>
          <w:szCs w:val="24"/>
        </w:rPr>
      </w:pPr>
    </w:p>
    <w:p w:rsidR="001F5370" w:rsidRDefault="001F5370" w:rsidP="00D31619">
      <w:pPr>
        <w:spacing w:after="0" w:line="240" w:lineRule="auto"/>
        <w:rPr>
          <w:b/>
          <w:color w:val="00458E"/>
          <w:sz w:val="24"/>
          <w:szCs w:val="24"/>
        </w:rPr>
      </w:pPr>
      <w:r w:rsidRPr="00311BDE">
        <w:rPr>
          <w:b/>
          <w:color w:val="00458E"/>
          <w:sz w:val="24"/>
          <w:szCs w:val="24"/>
        </w:rPr>
        <w:t>KONTAKTPERSONER:</w:t>
      </w:r>
    </w:p>
    <w:p w:rsidR="00D31619" w:rsidRDefault="00D31619" w:rsidP="00D31619">
      <w:pPr>
        <w:spacing w:after="0" w:line="240" w:lineRule="auto"/>
        <w:jc w:val="center"/>
        <w:rPr>
          <w:b/>
          <w:color w:val="00458E"/>
          <w:sz w:val="24"/>
          <w:szCs w:val="24"/>
        </w:rPr>
      </w:pPr>
    </w:p>
    <w:tbl>
      <w:tblPr>
        <w:tblStyle w:val="Tabellrutenett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89"/>
      </w:tblGrid>
      <w:tr w:rsidR="001F5370" w:rsidTr="00D31619">
        <w:tc>
          <w:tcPr>
            <w:tcW w:w="5495" w:type="dxa"/>
          </w:tcPr>
          <w:p w:rsidR="001A7CE2" w:rsidRPr="00311BDE" w:rsidRDefault="001A7CE2" w:rsidP="001A7CE2">
            <w:pPr>
              <w:rPr>
                <w:b/>
                <w:sz w:val="24"/>
                <w:szCs w:val="24"/>
              </w:rPr>
            </w:pPr>
            <w:r w:rsidRPr="00311BDE">
              <w:rPr>
                <w:b/>
                <w:sz w:val="24"/>
                <w:szCs w:val="24"/>
              </w:rPr>
              <w:t>Camilla Lien Sandnes</w:t>
            </w:r>
          </w:p>
          <w:p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Teamleder</w:t>
            </w:r>
          </w:p>
          <w:p w:rsidR="001A7CE2" w:rsidRPr="001A7CE2" w:rsidRDefault="001A7CE2" w:rsidP="001A7CE2">
            <w:pPr>
              <w:rPr>
                <w:sz w:val="24"/>
                <w:szCs w:val="24"/>
                <w:lang w:val="en-GB"/>
              </w:rPr>
            </w:pPr>
            <w:r w:rsidRPr="001A7CE2">
              <w:rPr>
                <w:sz w:val="24"/>
                <w:szCs w:val="24"/>
                <w:lang w:val="en-GB"/>
              </w:rPr>
              <w:t>Tlf.: 930 82 976</w:t>
            </w:r>
          </w:p>
          <w:p w:rsidR="001A7CE2" w:rsidRPr="001A7CE2" w:rsidRDefault="001A7CE2" w:rsidP="001A7CE2">
            <w:pPr>
              <w:rPr>
                <w:sz w:val="24"/>
                <w:szCs w:val="24"/>
                <w:lang w:val="en-GB"/>
              </w:rPr>
            </w:pPr>
            <w:r w:rsidRPr="001A7CE2">
              <w:rPr>
                <w:sz w:val="24"/>
                <w:szCs w:val="24"/>
                <w:lang w:val="en-GB"/>
              </w:rPr>
              <w:t xml:space="preserve">E-post: </w:t>
            </w:r>
            <w:hyperlink r:id="rId9" w:history="1">
              <w:r w:rsidRPr="001A7CE2">
                <w:rPr>
                  <w:rStyle w:val="Hyperkobling"/>
                  <w:sz w:val="24"/>
                  <w:szCs w:val="24"/>
                  <w:lang w:val="en-GB"/>
                </w:rPr>
                <w:t>grants@ous-hf.no</w:t>
              </w:r>
            </w:hyperlink>
          </w:p>
          <w:p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for ekstern finansering </w:t>
            </w:r>
          </w:p>
          <w:p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 Forskerstøtte</w:t>
            </w:r>
          </w:p>
          <w:p w:rsidR="001F5370" w:rsidRPr="00311BDE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 universitetssykehus HF</w:t>
            </w:r>
          </w:p>
        </w:tc>
        <w:tc>
          <w:tcPr>
            <w:tcW w:w="4889" w:type="dxa"/>
          </w:tcPr>
          <w:p w:rsidR="001F5370" w:rsidRPr="00311BDE" w:rsidRDefault="001A7CE2" w:rsidP="00745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Svein Arnesen</w:t>
            </w:r>
          </w:p>
          <w:p w:rsidR="001F5370" w:rsidRDefault="00F700CC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Spesial</w:t>
            </w:r>
            <w:r w:rsidR="001F5370">
              <w:rPr>
                <w:sz w:val="24"/>
                <w:szCs w:val="24"/>
              </w:rPr>
              <w:t>rådgiver</w:t>
            </w:r>
          </w:p>
          <w:p w:rsidR="001F5370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</w:t>
            </w:r>
            <w:r w:rsidR="00D316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="001A7CE2" w:rsidRPr="001A7CE2">
              <w:rPr>
                <w:sz w:val="24"/>
                <w:szCs w:val="24"/>
              </w:rPr>
              <w:t>40 21 86 89</w:t>
            </w:r>
          </w:p>
          <w:p w:rsidR="001F5370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  <w:hyperlink r:id="rId10" w:history="1">
              <w:r w:rsidR="002E7E87" w:rsidRPr="00E964BA">
                <w:rPr>
                  <w:rStyle w:val="Hyperkobling"/>
                  <w:sz w:val="24"/>
                  <w:szCs w:val="24"/>
                </w:rPr>
                <w:t>grants@ous-hf.no</w:t>
              </w:r>
            </w:hyperlink>
          </w:p>
          <w:p w:rsidR="001F5370" w:rsidRDefault="001A7CE2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  <w:r w:rsidR="00D31619">
              <w:rPr>
                <w:sz w:val="24"/>
                <w:szCs w:val="24"/>
              </w:rPr>
              <w:t xml:space="preserve"> for ekstern finansering </w:t>
            </w:r>
          </w:p>
          <w:p w:rsidR="001F5370" w:rsidRDefault="00D31619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 Forskerstøtte</w:t>
            </w:r>
          </w:p>
          <w:p w:rsidR="001F5370" w:rsidRPr="00311BDE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 universitetssykehus HF</w:t>
            </w:r>
          </w:p>
        </w:tc>
      </w:tr>
    </w:tbl>
    <w:p w:rsidR="001F5370" w:rsidRPr="00311BDE" w:rsidRDefault="001F5370" w:rsidP="001F5370">
      <w:pPr>
        <w:spacing w:after="0" w:line="240" w:lineRule="auto"/>
        <w:rPr>
          <w:color w:val="00458E"/>
          <w:sz w:val="24"/>
          <w:szCs w:val="24"/>
        </w:rPr>
      </w:pPr>
    </w:p>
    <w:p w:rsidR="001F5370" w:rsidRDefault="001F53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956" w:rsidRPr="001F5370" w:rsidRDefault="001F5370" w:rsidP="001F5370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1F5370">
        <w:rPr>
          <w:b/>
          <w:color w:val="1F497D" w:themeColor="text2"/>
          <w:sz w:val="28"/>
          <w:szCs w:val="28"/>
        </w:rPr>
        <w:t>SØKNADSSKJEMA</w:t>
      </w:r>
    </w:p>
    <w:p w:rsidR="001F5370" w:rsidRDefault="001F5370" w:rsidP="000955F5">
      <w:pPr>
        <w:spacing w:after="0" w:line="240" w:lineRule="auto"/>
        <w:rPr>
          <w:sz w:val="24"/>
          <w:szCs w:val="24"/>
        </w:rPr>
      </w:pPr>
    </w:p>
    <w:p w:rsidR="008942EA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color w:val="1F497D" w:themeColor="text2"/>
          <w:sz w:val="24"/>
          <w:szCs w:val="24"/>
        </w:rPr>
        <w:t xml:space="preserve"> </w:t>
      </w:r>
      <w:r w:rsidRPr="00311BDE">
        <w:rPr>
          <w:b/>
          <w:color w:val="1F497D" w:themeColor="text2"/>
          <w:sz w:val="24"/>
          <w:szCs w:val="24"/>
        </w:rPr>
        <w:t xml:space="preserve">PROSJEKTLEDER: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Etternavn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Foretak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Klinikk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:rsidTr="002E7E87">
        <w:tc>
          <w:tcPr>
            <w:tcW w:w="2376" w:type="dxa"/>
          </w:tcPr>
          <w:p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Kostnadssted</w:t>
            </w:r>
            <w:r w:rsidR="002E7E87">
              <w:rPr>
                <w:sz w:val="24"/>
                <w:szCs w:val="24"/>
              </w:rPr>
              <w:t xml:space="preserve"> (OUS) /</w:t>
            </w:r>
          </w:p>
          <w:p w:rsidR="002E7E87" w:rsidRDefault="002E7E87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Bankdetaljer for overføring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:rsidR="002E7E87" w:rsidRPr="00E257AE" w:rsidRDefault="002E7E87" w:rsidP="006052E2">
            <w:pPr>
              <w:rPr>
                <w:sz w:val="24"/>
                <w:szCs w:val="24"/>
              </w:rPr>
            </w:pPr>
          </w:p>
        </w:tc>
      </w:tr>
    </w:tbl>
    <w:p w:rsidR="00361956" w:rsidRPr="000955F5" w:rsidRDefault="00361956" w:rsidP="000955F5">
      <w:pPr>
        <w:spacing w:after="0" w:line="240" w:lineRule="auto"/>
        <w:rPr>
          <w:sz w:val="24"/>
          <w:szCs w:val="24"/>
        </w:rPr>
      </w:pPr>
    </w:p>
    <w:p w:rsidR="00311BDE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955F5">
        <w:rPr>
          <w:sz w:val="24"/>
          <w:szCs w:val="24"/>
        </w:rPr>
        <w:t xml:space="preserve">  </w:t>
      </w:r>
      <w:r w:rsidRPr="00311BDE">
        <w:rPr>
          <w:b/>
          <w:color w:val="1F497D" w:themeColor="text2"/>
          <w:sz w:val="24"/>
          <w:szCs w:val="24"/>
        </w:rPr>
        <w:t xml:space="preserve"> PROSJEKT</w:t>
      </w:r>
      <w:r w:rsidR="00311BDE">
        <w:rPr>
          <w:b/>
          <w:color w:val="1F497D" w:themeColor="text2"/>
          <w:sz w:val="24"/>
          <w:szCs w:val="24"/>
        </w:rPr>
        <w:t>:</w:t>
      </w:r>
      <w:r w:rsidRPr="00311BDE">
        <w:rPr>
          <w:b/>
          <w:color w:val="1F497D" w:themeColor="text2"/>
          <w:sz w:val="24"/>
          <w:szCs w:val="24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311BDE" w:rsidRPr="00C42D42" w:rsidTr="00E10869">
        <w:tc>
          <w:tcPr>
            <w:tcW w:w="2235" w:type="dxa"/>
          </w:tcPr>
          <w:p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Prosjekttittel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:rsidR="00311BDE" w:rsidRPr="00E257AE" w:rsidRDefault="00311BDE" w:rsidP="00E257A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11BDE" w:rsidTr="00E10869">
        <w:tc>
          <w:tcPr>
            <w:tcW w:w="2235" w:type="dxa"/>
          </w:tcPr>
          <w:p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Akronym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311BDE" w:rsidTr="00E10869">
        <w:tc>
          <w:tcPr>
            <w:tcW w:w="2235" w:type="dxa"/>
          </w:tcPr>
          <w:p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Utlysning (Call ID)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311BDE" w:rsidTr="00E10869">
        <w:tc>
          <w:tcPr>
            <w:tcW w:w="2235" w:type="dxa"/>
          </w:tcPr>
          <w:p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Utlysningsfrist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1F5370" w:rsidTr="00E10869">
        <w:tc>
          <w:tcPr>
            <w:tcW w:w="2235" w:type="dxa"/>
          </w:tcPr>
          <w:p w:rsidR="001F5370" w:rsidRDefault="001F5370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:rsidR="001F5370" w:rsidRPr="00E257AE" w:rsidRDefault="001F5370" w:rsidP="000955F5">
            <w:pPr>
              <w:rPr>
                <w:sz w:val="24"/>
                <w:szCs w:val="24"/>
              </w:rPr>
            </w:pPr>
          </w:p>
        </w:tc>
      </w:tr>
    </w:tbl>
    <w:p w:rsidR="00361956" w:rsidRDefault="00361956" w:rsidP="000955F5">
      <w:pPr>
        <w:spacing w:after="0" w:line="240" w:lineRule="auto"/>
        <w:rPr>
          <w:sz w:val="24"/>
          <w:szCs w:val="24"/>
        </w:rPr>
      </w:pPr>
    </w:p>
    <w:p w:rsidR="00311BDE" w:rsidRPr="000955F5" w:rsidRDefault="00311BDE" w:rsidP="0009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 en kort beskrivelse av 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1BDE" w:rsidRPr="00C42D42" w:rsidTr="00311BDE">
        <w:tc>
          <w:tcPr>
            <w:tcW w:w="9778" w:type="dxa"/>
          </w:tcPr>
          <w:p w:rsidR="00311BDE" w:rsidRPr="00F700CC" w:rsidRDefault="00311BDE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</w:tc>
      </w:tr>
    </w:tbl>
    <w:p w:rsidR="00361956" w:rsidRPr="00F700CC" w:rsidRDefault="00361956" w:rsidP="000955F5">
      <w:pPr>
        <w:spacing w:after="0" w:line="240" w:lineRule="auto"/>
        <w:rPr>
          <w:sz w:val="24"/>
          <w:szCs w:val="24"/>
        </w:rPr>
      </w:pPr>
    </w:p>
    <w:p w:rsidR="001F5370" w:rsidRPr="00F700CC" w:rsidRDefault="001F5370" w:rsidP="000955F5">
      <w:pPr>
        <w:spacing w:after="0" w:line="240" w:lineRule="auto"/>
        <w:rPr>
          <w:sz w:val="24"/>
          <w:szCs w:val="24"/>
        </w:rPr>
      </w:pPr>
    </w:p>
    <w:p w:rsidR="00361956" w:rsidRPr="00311BDE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F700CC">
        <w:rPr>
          <w:b/>
          <w:color w:val="1F497D" w:themeColor="text2"/>
          <w:sz w:val="24"/>
          <w:szCs w:val="24"/>
        </w:rPr>
        <w:t xml:space="preserve"> </w:t>
      </w:r>
      <w:r w:rsidRPr="00311BDE">
        <w:rPr>
          <w:b/>
          <w:color w:val="1F497D" w:themeColor="text2"/>
          <w:sz w:val="24"/>
          <w:szCs w:val="24"/>
        </w:rPr>
        <w:t xml:space="preserve">BUDSJETT: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96"/>
        <w:gridCol w:w="2582"/>
      </w:tblGrid>
      <w:tr w:rsidR="004054E8" w:rsidTr="004054E8">
        <w:tc>
          <w:tcPr>
            <w:tcW w:w="7196" w:type="dxa"/>
          </w:tcPr>
          <w:p w:rsidR="004054E8" w:rsidRPr="002E3A7E" w:rsidRDefault="00361956" w:rsidP="000955F5">
            <w:pPr>
              <w:rPr>
                <w:b/>
                <w:sz w:val="24"/>
                <w:szCs w:val="24"/>
              </w:rPr>
            </w:pPr>
            <w:r w:rsidRPr="000955F5">
              <w:rPr>
                <w:sz w:val="24"/>
                <w:szCs w:val="24"/>
              </w:rPr>
              <w:t xml:space="preserve">  </w:t>
            </w:r>
            <w:r w:rsidR="004054E8" w:rsidRPr="002E3A7E">
              <w:rPr>
                <w:b/>
                <w:sz w:val="24"/>
                <w:szCs w:val="24"/>
              </w:rPr>
              <w:t>Kategori</w:t>
            </w:r>
          </w:p>
        </w:tc>
        <w:tc>
          <w:tcPr>
            <w:tcW w:w="2582" w:type="dxa"/>
          </w:tcPr>
          <w:p w:rsidR="004054E8" w:rsidRPr="002E3A7E" w:rsidRDefault="004054E8" w:rsidP="000955F5">
            <w:pPr>
              <w:rPr>
                <w:b/>
                <w:sz w:val="24"/>
                <w:szCs w:val="24"/>
              </w:rPr>
            </w:pPr>
            <w:r w:rsidRPr="002E3A7E">
              <w:rPr>
                <w:b/>
                <w:sz w:val="24"/>
                <w:szCs w:val="24"/>
              </w:rPr>
              <w:t>Beløp</w:t>
            </w:r>
          </w:p>
        </w:tc>
      </w:tr>
      <w:tr w:rsidR="004054E8" w:rsidTr="00E10869">
        <w:tc>
          <w:tcPr>
            <w:tcW w:w="7196" w:type="dxa"/>
          </w:tcPr>
          <w:p w:rsidR="004054E8" w:rsidRDefault="004054E8" w:rsidP="000955F5">
            <w:pPr>
              <w:rPr>
                <w:sz w:val="24"/>
                <w:szCs w:val="24"/>
              </w:rPr>
            </w:pPr>
            <w:r w:rsidRPr="004054E8">
              <w:rPr>
                <w:sz w:val="24"/>
                <w:szCs w:val="24"/>
              </w:rPr>
              <w:t>Innkjøp av FoU-tjenester (ekstern assistanse og rådgivning)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:rsidR="004054E8" w:rsidRDefault="004054E8" w:rsidP="000955F5">
            <w:pPr>
              <w:rPr>
                <w:sz w:val="24"/>
                <w:szCs w:val="24"/>
              </w:rPr>
            </w:pPr>
          </w:p>
        </w:tc>
      </w:tr>
      <w:tr w:rsidR="004054E8" w:rsidTr="00E10869">
        <w:tc>
          <w:tcPr>
            <w:tcW w:w="7196" w:type="dxa"/>
          </w:tcPr>
          <w:p w:rsidR="004054E8" w:rsidRDefault="004054E8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driftskostnader (partnersøk, reiser med mer)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:rsidR="004054E8" w:rsidRDefault="004054E8" w:rsidP="000955F5">
            <w:pPr>
              <w:rPr>
                <w:sz w:val="24"/>
                <w:szCs w:val="24"/>
              </w:rPr>
            </w:pPr>
          </w:p>
        </w:tc>
      </w:tr>
      <w:tr w:rsidR="002E3A7E" w:rsidTr="00E10869">
        <w:tc>
          <w:tcPr>
            <w:tcW w:w="7196" w:type="dxa"/>
          </w:tcPr>
          <w:p w:rsidR="002E3A7E" w:rsidRDefault="002E3A7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Personal- og indirekte kostnader (</w:t>
            </w:r>
            <w:r w:rsidRPr="002E3A7E">
              <w:rPr>
                <w:sz w:val="24"/>
                <w:szCs w:val="24"/>
              </w:rPr>
              <w:t>timekostnader til frikjøp av personale eller til prosjektansatte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:rsidR="002E3A7E" w:rsidRDefault="002E3A7E" w:rsidP="006C7339">
            <w:pPr>
              <w:rPr>
                <w:sz w:val="24"/>
                <w:szCs w:val="24"/>
              </w:rPr>
            </w:pPr>
          </w:p>
        </w:tc>
      </w:tr>
      <w:tr w:rsidR="002E3A7E" w:rsidTr="00E10869">
        <w:tc>
          <w:tcPr>
            <w:tcW w:w="7196" w:type="dxa"/>
          </w:tcPr>
          <w:p w:rsidR="002E3A7E" w:rsidRPr="002E3A7E" w:rsidRDefault="002E3A7E" w:rsidP="000955F5">
            <w:pPr>
              <w:rPr>
                <w:b/>
                <w:sz w:val="24"/>
                <w:szCs w:val="24"/>
              </w:rPr>
            </w:pPr>
            <w:r w:rsidRPr="002E3A7E">
              <w:rPr>
                <w:b/>
                <w:sz w:val="24"/>
                <w:szCs w:val="24"/>
              </w:rPr>
              <w:t>Totalt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:rsidR="002E3A7E" w:rsidRPr="002E3A7E" w:rsidRDefault="002E3A7E" w:rsidP="000955F5">
            <w:pPr>
              <w:rPr>
                <w:b/>
                <w:sz w:val="24"/>
                <w:szCs w:val="24"/>
              </w:rPr>
            </w:pPr>
          </w:p>
        </w:tc>
      </w:tr>
    </w:tbl>
    <w:p w:rsidR="009822A0" w:rsidRPr="000955F5" w:rsidRDefault="009822A0" w:rsidP="001F5370">
      <w:pPr>
        <w:spacing w:after="0" w:line="240" w:lineRule="auto"/>
        <w:rPr>
          <w:sz w:val="24"/>
          <w:szCs w:val="24"/>
        </w:rPr>
      </w:pPr>
    </w:p>
    <w:sectPr w:rsidR="009822A0" w:rsidRPr="000955F5" w:rsidSect="00D31619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7B" w:rsidRDefault="00DE167B" w:rsidP="00361956">
      <w:pPr>
        <w:spacing w:after="0" w:line="240" w:lineRule="auto"/>
      </w:pPr>
      <w:r>
        <w:separator/>
      </w:r>
    </w:p>
  </w:endnote>
  <w:endnote w:type="continuationSeparator" w:id="0">
    <w:p w:rsidR="00DE167B" w:rsidRDefault="00DE167B" w:rsidP="0036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19" w:rsidRDefault="002E3A7E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18"/>
        <w:szCs w:val="18"/>
      </w:rPr>
    </w:pPr>
    <w:r>
      <w:rPr>
        <w:b/>
        <w:bCs/>
        <w:noProof/>
        <w:color w:val="00458E"/>
        <w:sz w:val="18"/>
        <w:szCs w:val="18"/>
      </w:rPr>
      <w:drawing>
        <wp:anchor distT="0" distB="0" distL="114300" distR="114300" simplePos="0" relativeHeight="251658240" behindDoc="1" locked="0" layoutInCell="1" allowOverlap="1" wp14:anchorId="5CC3BA5C" wp14:editId="5BD135B6">
          <wp:simplePos x="0" y="0"/>
          <wp:positionH relativeFrom="column">
            <wp:posOffset>-43815</wp:posOffset>
          </wp:positionH>
          <wp:positionV relativeFrom="paragraph">
            <wp:posOffset>1905</wp:posOffset>
          </wp:positionV>
          <wp:extent cx="1924050" cy="400050"/>
          <wp:effectExtent l="19050" t="0" r="0" b="0"/>
          <wp:wrapTight wrapText="bothSides">
            <wp:wrapPolygon edited="0">
              <wp:start x="855" y="0"/>
              <wp:lineTo x="-214" y="4114"/>
              <wp:lineTo x="0" y="19543"/>
              <wp:lineTo x="2352" y="20571"/>
              <wp:lineTo x="15612" y="20571"/>
              <wp:lineTo x="16895" y="20571"/>
              <wp:lineTo x="21600" y="20571"/>
              <wp:lineTo x="21600" y="13371"/>
              <wp:lineTo x="3422" y="0"/>
              <wp:lineTo x="855" y="0"/>
            </wp:wrapPolygon>
          </wp:wrapTight>
          <wp:docPr id="13" name="Bilde 10" descr="OU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</w:p>
  <w:p w:rsidR="00D31619" w:rsidRPr="00D31619" w:rsidRDefault="00D31619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20"/>
        <w:szCs w:val="20"/>
      </w:rPr>
    </w:pP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  <w:r w:rsidR="001A7CE2">
      <w:rPr>
        <w:b/>
        <w:bCs/>
        <w:color w:val="00458E"/>
        <w:sz w:val="20"/>
        <w:szCs w:val="20"/>
      </w:rPr>
      <w:t>Team for ekstern finansiering</w:t>
    </w:r>
  </w:p>
  <w:p w:rsidR="002E3A7E" w:rsidRPr="00D31619" w:rsidRDefault="00D31619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20"/>
        <w:szCs w:val="20"/>
      </w:rPr>
    </w:pP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  <w:r w:rsidR="00F700CC">
      <w:rPr>
        <w:b/>
        <w:bCs/>
        <w:color w:val="00458E"/>
        <w:sz w:val="20"/>
        <w:szCs w:val="20"/>
      </w:rPr>
      <w:t>Administrativ forskerstøtte</w:t>
    </w:r>
    <w:r w:rsidR="002E3A7E" w:rsidRPr="00495754">
      <w:rPr>
        <w:b/>
        <w:bCs/>
        <w:color w:val="00458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7B" w:rsidRDefault="00DE167B" w:rsidP="00361956">
      <w:pPr>
        <w:spacing w:after="0" w:line="240" w:lineRule="auto"/>
      </w:pPr>
      <w:r>
        <w:separator/>
      </w:r>
    </w:p>
  </w:footnote>
  <w:footnote w:type="continuationSeparator" w:id="0">
    <w:p w:rsidR="00DE167B" w:rsidRDefault="00DE167B" w:rsidP="0036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7E" w:rsidRDefault="006A3E5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3FD123" wp14:editId="5546F4EB">
          <wp:simplePos x="0" y="0"/>
          <wp:positionH relativeFrom="column">
            <wp:posOffset>4118610</wp:posOffset>
          </wp:positionH>
          <wp:positionV relativeFrom="paragraph">
            <wp:posOffset>-36195</wp:posOffset>
          </wp:positionV>
          <wp:extent cx="1993900" cy="304800"/>
          <wp:effectExtent l="19050" t="0" r="6350" b="0"/>
          <wp:wrapTight wrapText="bothSides">
            <wp:wrapPolygon edited="0">
              <wp:start x="619" y="0"/>
              <wp:lineTo x="-206" y="6750"/>
              <wp:lineTo x="-206" y="13500"/>
              <wp:lineTo x="619" y="20250"/>
              <wp:lineTo x="15271" y="20250"/>
              <wp:lineTo x="21669" y="17550"/>
              <wp:lineTo x="21669" y="1350"/>
              <wp:lineTo x="3302" y="0"/>
              <wp:lineTo x="619" y="0"/>
            </wp:wrapPolygon>
          </wp:wrapTight>
          <wp:docPr id="15" name="Bilde 14" descr="FR_logo_B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B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E2EC6F8" wp14:editId="0393EBA5">
          <wp:simplePos x="0" y="0"/>
          <wp:positionH relativeFrom="column">
            <wp:posOffset>22860</wp:posOffset>
          </wp:positionH>
          <wp:positionV relativeFrom="paragraph">
            <wp:posOffset>-150495</wp:posOffset>
          </wp:positionV>
          <wp:extent cx="2171700" cy="495300"/>
          <wp:effectExtent l="19050" t="0" r="0" b="0"/>
          <wp:wrapTight wrapText="bothSides">
            <wp:wrapPolygon edited="0">
              <wp:start x="-189" y="0"/>
              <wp:lineTo x="-189" y="20769"/>
              <wp:lineTo x="21600" y="20769"/>
              <wp:lineTo x="21600" y="0"/>
              <wp:lineTo x="-189" y="0"/>
            </wp:wrapPolygon>
          </wp:wrapTight>
          <wp:docPr id="14" name="Bilde 13" descr="helse-sor-o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sor-ost.png"/>
                  <pic:cNvPicPr/>
                </pic:nvPicPr>
                <pic:blipFill>
                  <a:blip r:embed="rId2"/>
                  <a:srcRect l="30588" t="46793" r="31092" b="47031"/>
                  <a:stretch>
                    <a:fillRect/>
                  </a:stretch>
                </pic:blipFill>
                <pic:spPr>
                  <a:xfrm>
                    <a:off x="0" y="0"/>
                    <a:ext cx="2171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A7E">
      <w:ptab w:relativeTo="margin" w:alignment="center" w:leader="none"/>
    </w:r>
    <w:r w:rsidR="002E3A7E">
      <w:ptab w:relativeTo="margin" w:alignment="right" w:leader="none"/>
    </w:r>
  </w:p>
  <w:p w:rsidR="008917B3" w:rsidRDefault="008917B3">
    <w:pPr>
      <w:pStyle w:val="Topptekst"/>
    </w:pPr>
  </w:p>
  <w:p w:rsidR="008917B3" w:rsidRDefault="008917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471"/>
    <w:multiLevelType w:val="multilevel"/>
    <w:tmpl w:val="AD7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5A1"/>
    <w:multiLevelType w:val="hybridMultilevel"/>
    <w:tmpl w:val="EBF49582"/>
    <w:lvl w:ilvl="0" w:tplc="C7440342">
      <w:start w:val="67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359B2A64"/>
    <w:multiLevelType w:val="hybridMultilevel"/>
    <w:tmpl w:val="B5808A9A"/>
    <w:lvl w:ilvl="0" w:tplc="052A70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1701"/>
    <w:multiLevelType w:val="hybridMultilevel"/>
    <w:tmpl w:val="DE7A8988"/>
    <w:lvl w:ilvl="0" w:tplc="E7845B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5C6"/>
    <w:multiLevelType w:val="hybridMultilevel"/>
    <w:tmpl w:val="740207FC"/>
    <w:lvl w:ilvl="0" w:tplc="84C04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4B85"/>
    <w:multiLevelType w:val="hybridMultilevel"/>
    <w:tmpl w:val="1B6A33DE"/>
    <w:lvl w:ilvl="0" w:tplc="25802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568E0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D532FF"/>
    <w:multiLevelType w:val="hybridMultilevel"/>
    <w:tmpl w:val="5988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9DF"/>
    <w:multiLevelType w:val="hybridMultilevel"/>
    <w:tmpl w:val="C95E9AD0"/>
    <w:lvl w:ilvl="0" w:tplc="052A7040">
      <w:numFmt w:val="bullet"/>
      <w:lvlText w:val="•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6"/>
    <w:rsid w:val="00020ED5"/>
    <w:rsid w:val="00044C8E"/>
    <w:rsid w:val="00045E1C"/>
    <w:rsid w:val="00045EBA"/>
    <w:rsid w:val="00092D42"/>
    <w:rsid w:val="000955F5"/>
    <w:rsid w:val="000A1242"/>
    <w:rsid w:val="000C7B66"/>
    <w:rsid w:val="000D29DF"/>
    <w:rsid w:val="000F0587"/>
    <w:rsid w:val="00146BAD"/>
    <w:rsid w:val="00164848"/>
    <w:rsid w:val="001A7CE2"/>
    <w:rsid w:val="001F5370"/>
    <w:rsid w:val="0024474D"/>
    <w:rsid w:val="002A5DA3"/>
    <w:rsid w:val="002C024B"/>
    <w:rsid w:val="002E3A7E"/>
    <w:rsid w:val="002E7E87"/>
    <w:rsid w:val="00304D9D"/>
    <w:rsid w:val="00311BDE"/>
    <w:rsid w:val="00361956"/>
    <w:rsid w:val="003721CA"/>
    <w:rsid w:val="004054E8"/>
    <w:rsid w:val="00412D4E"/>
    <w:rsid w:val="004873B6"/>
    <w:rsid w:val="00495754"/>
    <w:rsid w:val="00497B59"/>
    <w:rsid w:val="005812F3"/>
    <w:rsid w:val="005924F9"/>
    <w:rsid w:val="006052E2"/>
    <w:rsid w:val="006A3E55"/>
    <w:rsid w:val="006C7339"/>
    <w:rsid w:val="007E3338"/>
    <w:rsid w:val="00802161"/>
    <w:rsid w:val="008104A1"/>
    <w:rsid w:val="008404ED"/>
    <w:rsid w:val="00840B0B"/>
    <w:rsid w:val="0088404D"/>
    <w:rsid w:val="008917B3"/>
    <w:rsid w:val="008942EA"/>
    <w:rsid w:val="008A4223"/>
    <w:rsid w:val="009539D9"/>
    <w:rsid w:val="00970918"/>
    <w:rsid w:val="009822A0"/>
    <w:rsid w:val="009B2B25"/>
    <w:rsid w:val="009D097F"/>
    <w:rsid w:val="00AA11E6"/>
    <w:rsid w:val="00AB1D19"/>
    <w:rsid w:val="00AB5BF9"/>
    <w:rsid w:val="00AD7F93"/>
    <w:rsid w:val="00B80767"/>
    <w:rsid w:val="00C04FE9"/>
    <w:rsid w:val="00C31FBC"/>
    <w:rsid w:val="00C42D42"/>
    <w:rsid w:val="00C66DAF"/>
    <w:rsid w:val="00D31619"/>
    <w:rsid w:val="00D87194"/>
    <w:rsid w:val="00D94221"/>
    <w:rsid w:val="00DE167B"/>
    <w:rsid w:val="00E10869"/>
    <w:rsid w:val="00E257AE"/>
    <w:rsid w:val="00E30F55"/>
    <w:rsid w:val="00EC09DA"/>
    <w:rsid w:val="00ED216D"/>
    <w:rsid w:val="00EE4B3E"/>
    <w:rsid w:val="00F11F8D"/>
    <w:rsid w:val="00F26AD5"/>
    <w:rsid w:val="00F700CC"/>
    <w:rsid w:val="00F92E4E"/>
    <w:rsid w:val="00FB3DF5"/>
    <w:rsid w:val="00FC548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B6493E-5993-4A25-98D3-8CC72D70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956"/>
  </w:style>
  <w:style w:type="paragraph" w:styleId="Bunntekst">
    <w:name w:val="footer"/>
    <w:basedOn w:val="Normal"/>
    <w:link w:val="BunntekstTegn"/>
    <w:uiPriority w:val="99"/>
    <w:unhideWhenUsed/>
    <w:rsid w:val="0036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956"/>
  </w:style>
  <w:style w:type="paragraph" w:styleId="Bobletekst">
    <w:name w:val="Balloon Text"/>
    <w:basedOn w:val="Normal"/>
    <w:link w:val="BobletekstTegn"/>
    <w:uiPriority w:val="99"/>
    <w:semiHidden/>
    <w:unhideWhenUsed/>
    <w:rsid w:val="0036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19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942E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9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311B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ous-hf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s@ous-hf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ous-hf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A343-E30C-4AE3-AA89-35852721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calsan</dc:creator>
  <cp:lastModifiedBy>Ellen Johnsen</cp:lastModifiedBy>
  <cp:revision>2</cp:revision>
  <dcterms:created xsi:type="dcterms:W3CDTF">2024-08-20T06:55:00Z</dcterms:created>
  <dcterms:modified xsi:type="dcterms:W3CDTF">2024-08-20T06:55:00Z</dcterms:modified>
</cp:coreProperties>
</file>